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F9FD07">
      <w:pPr>
        <w:jc w:val="center"/>
        <w:rPr>
          <w:rFonts w:hint="eastAsia" w:ascii="方正大标宋简体" w:hAnsi="方正大标宋简体" w:eastAsia="方正大标宋简体" w:cs="方正大标宋简体"/>
          <w:color w:val="000000" w:themeColor="text1"/>
          <w:sz w:val="36"/>
          <w:szCs w:val="40"/>
          <w14:textFill>
            <w14:solidFill>
              <w14:schemeClr w14:val="tx1"/>
            </w14:solidFill>
          </w14:textFill>
        </w:rPr>
      </w:pPr>
      <w:r>
        <w:rPr>
          <w:rFonts w:hint="eastAsia" w:ascii="方正大标宋简体" w:hAnsi="方正大标宋简体" w:eastAsia="方正大标宋简体" w:cs="方正大标宋简体"/>
          <w:color w:val="000000" w:themeColor="text1"/>
          <w:sz w:val="36"/>
          <w:szCs w:val="40"/>
          <w14:textFill>
            <w14:solidFill>
              <w14:schemeClr w14:val="tx1"/>
            </w14:solidFill>
          </w14:textFill>
        </w:rPr>
        <w:t>关于2025中华设计奖高教赛道“飞思十” 赛道（原浙江省大学生工业设计竞赛）</w:t>
      </w:r>
      <w:r>
        <w:rPr>
          <w:rFonts w:hint="eastAsia" w:ascii="方正大标宋简体" w:hAnsi="方正大标宋简体" w:eastAsia="方正大标宋简体" w:cs="方正大标宋简体"/>
          <w:color w:val="000000" w:themeColor="text1"/>
          <w:sz w:val="36"/>
          <w:szCs w:val="40"/>
          <w:lang w:val="en-US" w:eastAsia="zh-CN"/>
          <w14:textFill>
            <w14:solidFill>
              <w14:schemeClr w14:val="tx1"/>
            </w14:solidFill>
          </w14:textFill>
        </w:rPr>
        <w:t>产业赛</w:t>
      </w:r>
      <w:r>
        <w:rPr>
          <w:rFonts w:hint="eastAsia" w:ascii="方正大标宋简体" w:hAnsi="方正大标宋简体" w:eastAsia="方正大标宋简体" w:cs="方正大标宋简体"/>
          <w:color w:val="000000" w:themeColor="text1"/>
          <w:sz w:val="36"/>
          <w:szCs w:val="40"/>
          <w14:textFill>
            <w14:solidFill>
              <w14:schemeClr w14:val="tx1"/>
            </w14:solidFill>
          </w14:textFill>
        </w:rPr>
        <w:t>决赛通知</w:t>
      </w:r>
    </w:p>
    <w:p w14:paraId="4D6CE230">
      <w:pPr>
        <w:rPr>
          <w:color w:val="000000" w:themeColor="text1"/>
          <w14:textFill>
            <w14:solidFill>
              <w14:schemeClr w14:val="tx1"/>
            </w14:solidFill>
          </w14:textFill>
        </w:rPr>
      </w:pPr>
    </w:p>
    <w:p w14:paraId="652E33F6">
      <w:pPr>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各参赛院校：</w:t>
      </w:r>
    </w:p>
    <w:p w14:paraId="0A87F31F">
      <w:pPr>
        <w:ind w:firstLine="44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2025中华设计奖高教赛道竞赛“飞思十” 赛道（原浙江省大学生工业设计竞赛）</w:t>
      </w:r>
      <w:r>
        <w:rPr>
          <w:rFonts w:hint="eastAsia" w:ascii="宋体" w:hAnsi="宋体" w:eastAsia="宋体" w:cs="宋体"/>
          <w:color w:val="000000" w:themeColor="text1"/>
          <w:lang w:val="en-US" w:eastAsia="zh-CN"/>
          <w14:textFill>
            <w14:solidFill>
              <w14:schemeClr w14:val="tx1"/>
            </w14:solidFill>
          </w14:textFill>
        </w:rPr>
        <w:t>产业赛</w:t>
      </w:r>
      <w:r>
        <w:rPr>
          <w:rFonts w:hint="eastAsia" w:ascii="宋体" w:hAnsi="宋体" w:eastAsia="宋体" w:cs="宋体"/>
          <w:color w:val="000000" w:themeColor="text1"/>
          <w14:textFill>
            <w14:solidFill>
              <w14:schemeClr w14:val="tx1"/>
            </w14:solidFill>
          </w14:textFill>
        </w:rPr>
        <w:t>经过公平、公正、公开的初评评审，五大产业主题共收到各院校推荐有效作品 2329 件</w:t>
      </w:r>
      <w:r>
        <w:rPr>
          <w:rFonts w:hint="eastAsia" w:ascii="宋体" w:hAnsi="宋体" w:eastAsia="宋体" w:cs="宋体"/>
          <w:color w:val="000000" w:themeColor="text1"/>
          <w:lang w:eastAsia="zh-CN"/>
          <w14:textFill>
            <w14:solidFill>
              <w14:schemeClr w14:val="tx1"/>
            </w14:solidFill>
          </w14:textFill>
        </w:rPr>
        <w:t>，</w:t>
      </w:r>
      <w:r>
        <w:rPr>
          <w:rFonts w:hint="eastAsia" w:ascii="宋体" w:hAnsi="宋体" w:eastAsia="宋体" w:cs="宋体"/>
          <w:color w:val="000000" w:themeColor="text1"/>
          <w:lang w:val="en-US" w:eastAsia="zh-CN"/>
          <w14:textFill>
            <w14:solidFill>
              <w14:schemeClr w14:val="tx1"/>
            </w14:solidFill>
          </w14:textFill>
        </w:rPr>
        <w:t>其中获奖作品322件，142件</w:t>
      </w:r>
      <w:r>
        <w:rPr>
          <w:rFonts w:hint="eastAsia" w:ascii="宋体" w:hAnsi="宋体" w:eastAsia="宋体" w:cs="宋体"/>
          <w:color w:val="000000" w:themeColor="text1"/>
          <w14:textFill>
            <w14:solidFill>
              <w14:schemeClr w14:val="tx1"/>
            </w14:solidFill>
          </w14:textFill>
        </w:rPr>
        <w:t>作品入围决赛，角逐一、二等奖。现将决赛相关内容通知如下：</w:t>
      </w:r>
      <w:bookmarkStart w:id="0" w:name="_GoBack"/>
      <w:bookmarkEnd w:id="0"/>
    </w:p>
    <w:p w14:paraId="5A89FB4A">
      <w:pPr>
        <w:rPr>
          <w:rFonts w:ascii="宋体" w:hAnsi="宋体" w:eastAsia="宋体" w:cs="宋体"/>
          <w:color w:val="000000" w:themeColor="text1"/>
          <w14:textFill>
            <w14:solidFill>
              <w14:schemeClr w14:val="tx1"/>
            </w14:solidFill>
          </w14:textFill>
        </w:rPr>
      </w:pPr>
      <w:r>
        <w:rPr>
          <w:rFonts w:hint="eastAsia" w:ascii="宋体" w:hAnsi="宋体" w:eastAsia="宋体" w:cs="宋体"/>
          <w:b/>
          <w:bCs/>
          <w:color w:val="000000" w:themeColor="text1"/>
          <w14:textFill>
            <w14:solidFill>
              <w14:schemeClr w14:val="tx1"/>
            </w14:solidFill>
          </w14:textFill>
        </w:rPr>
        <w:t>一、决赛作品要求</w:t>
      </w:r>
    </w:p>
    <w:p w14:paraId="771B06F2">
      <w:pPr>
        <w:ind w:firstLine="44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1.本次入围决赛作品方案可以继续修改完善，最终作品方案需要提供</w:t>
      </w:r>
      <w:r>
        <w:rPr>
          <w:rFonts w:hint="eastAsia" w:ascii="宋体" w:hAnsi="宋体" w:eastAsia="宋体" w:cs="宋体"/>
          <w:b/>
          <w:bCs/>
          <w:color w:val="000000" w:themeColor="text1"/>
          <w14:textFill>
            <w14:solidFill>
              <w14:schemeClr w14:val="tx1"/>
            </w14:solidFill>
          </w14:textFill>
        </w:rPr>
        <w:t>设计说明版面、作品陈述PPT讲稿、设计展示视频文件（可选）</w:t>
      </w:r>
      <w:r>
        <w:rPr>
          <w:rFonts w:hint="eastAsia" w:ascii="宋体" w:hAnsi="宋体" w:eastAsia="宋体" w:cs="宋体"/>
          <w:color w:val="000000" w:themeColor="text1"/>
          <w14:textFill>
            <w14:solidFill>
              <w14:schemeClr w14:val="tx1"/>
            </w14:solidFill>
          </w14:textFill>
        </w:rPr>
        <w:t>等</w:t>
      </w:r>
      <w:r>
        <w:rPr>
          <w:rFonts w:hint="eastAsia" w:ascii="宋体" w:hAnsi="宋体" w:eastAsia="宋体" w:cs="宋体"/>
          <w:color w:val="000000" w:themeColor="text1"/>
          <w:lang w:eastAsia="zh-CN"/>
          <w14:textFill>
            <w14:solidFill>
              <w14:schemeClr w14:val="tx1"/>
            </w14:solidFill>
          </w14:textFill>
        </w:rPr>
        <w:t>，</w:t>
      </w:r>
      <w:r>
        <w:rPr>
          <w:rFonts w:hint="eastAsia" w:ascii="宋体" w:hAnsi="宋体" w:eastAsia="宋体" w:cs="宋体"/>
          <w:color w:val="000000" w:themeColor="text1"/>
          <w:lang w:val="en-US" w:eastAsia="zh-CN"/>
          <w14:textFill>
            <w14:solidFill>
              <w14:schemeClr w14:val="tx1"/>
            </w14:solidFill>
          </w14:textFill>
        </w:rPr>
        <w:t>并在各产业赛截止前提交作品，</w:t>
      </w:r>
      <w:r>
        <w:rPr>
          <w:rFonts w:hint="eastAsia" w:ascii="宋体" w:hAnsi="宋体" w:eastAsia="宋体" w:cs="宋体"/>
          <w:color w:val="000000" w:themeColor="text1"/>
          <w14:textFill>
            <w14:solidFill>
              <w14:schemeClr w14:val="tx1"/>
            </w14:solidFill>
          </w14:textFill>
        </w:rPr>
        <w:t>逾期概不受理。</w:t>
      </w:r>
    </w:p>
    <w:p w14:paraId="48A976EC">
      <w:pPr>
        <w:ind w:firstLine="44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2.决赛作品均需要</w:t>
      </w:r>
      <w:r>
        <w:rPr>
          <w:rFonts w:hint="eastAsia" w:ascii="宋体" w:hAnsi="宋体" w:eastAsia="宋体" w:cs="宋体"/>
          <w:color w:val="000000" w:themeColor="text1"/>
          <w:lang w:val="en-US" w:eastAsia="zh-CN"/>
          <w14:textFill>
            <w14:solidFill>
              <w14:schemeClr w14:val="tx1"/>
            </w14:solidFill>
          </w14:textFill>
        </w:rPr>
        <w:t>通过</w:t>
      </w:r>
      <w:r>
        <w:rPr>
          <w:rFonts w:hint="eastAsia" w:ascii="宋体" w:hAnsi="宋体" w:eastAsia="宋体" w:cs="宋体"/>
          <w:color w:val="000000" w:themeColor="text1"/>
          <w14:textFill>
            <w14:solidFill>
              <w14:schemeClr w14:val="tx1"/>
            </w14:solidFill>
          </w14:textFill>
        </w:rPr>
        <w:t>知产中国竞赛平台报送（www.zhsjj.com）。</w:t>
      </w:r>
    </w:p>
    <w:p w14:paraId="47777C03">
      <w:pPr>
        <w:ind w:firstLine="44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为保证本次大赛评选的公正性，网站提交的作品版面、讲稿、视频等文件请按照文件规定要求提交，同时提交文件上不得出现作者所在单位、姓名(包括英文或拼音缩写)或与作者身份有关的任何图标、图形等个人信息资料。文件提交失误或者出现违规现象，作品都将做无效处理，后果由参赛团队自行承担。</w:t>
      </w:r>
    </w:p>
    <w:p w14:paraId="4DDD52C9">
      <w:pPr>
        <w:ind w:firstLine="44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决赛作品须制作样机或模型，样机或者模型实物体积不大于1立方米（大型作品可采用比例模型）。模型制作经费各校自行承担。考虑到往届比赛中模型在快递运输和布展过程中发生不可抗拒的损坏，对展览效果及参赛选手带来负面影响。本次大赛模型由各参赛院校自行携带，在参赛前准时送达至指定展示区域，并自行进行布展。</w:t>
      </w:r>
    </w:p>
    <w:p w14:paraId="3EBDBEBD">
      <w:pPr>
        <w:ind w:firstLine="440" w:firstLineChars="200"/>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14:textFill>
            <w14:solidFill>
              <w14:schemeClr w14:val="tx1"/>
            </w14:solidFill>
          </w14:textFill>
        </w:rPr>
        <w:t>5.入围决赛作品放弃路演答辩或未制作模型，视同放弃决赛资格，获奖奖项调整为三等奖。</w:t>
      </w:r>
    </w:p>
    <w:p w14:paraId="654563B8">
      <w:pPr>
        <w:rPr>
          <w:rFonts w:ascii="宋体" w:hAnsi="宋体" w:eastAsia="宋体" w:cs="宋体"/>
          <w:color w:val="000000" w:themeColor="text1"/>
          <w14:textFill>
            <w14:solidFill>
              <w14:schemeClr w14:val="tx1"/>
            </w14:solidFill>
          </w14:textFill>
        </w:rPr>
      </w:pPr>
      <w:r>
        <w:rPr>
          <w:rFonts w:hint="eastAsia" w:ascii="宋体" w:hAnsi="宋体" w:eastAsia="宋体" w:cs="宋体"/>
          <w:b/>
          <w:bCs/>
          <w:color w:val="000000" w:themeColor="text1"/>
          <w14:textFill>
            <w14:solidFill>
              <w14:schemeClr w14:val="tx1"/>
            </w14:solidFill>
          </w14:textFill>
        </w:rPr>
        <w:t>二、决赛工作安排</w:t>
      </w:r>
    </w:p>
    <w:p w14:paraId="198DA2C0">
      <w:pPr>
        <w:ind w:firstLine="44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1.决赛时间</w:t>
      </w:r>
    </w:p>
    <w:p w14:paraId="159E64D1">
      <w:pPr>
        <w:ind w:firstLine="440" w:firstLineChars="200"/>
        <w:rPr>
          <w:rFonts w:hint="default"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请各参赛院校仔细阅读各赛道附件，并按照具体的安排展开。</w:t>
      </w:r>
    </w:p>
    <w:p w14:paraId="36D68085">
      <w:pPr>
        <w:ind w:firstLine="44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2</w:t>
      </w:r>
      <w:r>
        <w:rPr>
          <w:rFonts w:hint="eastAsia" w:ascii="宋体" w:hAnsi="宋体" w:eastAsia="宋体" w:cs="宋体"/>
          <w:color w:val="000000" w:themeColor="text1"/>
          <w14:textFill>
            <w14:solidFill>
              <w14:schemeClr w14:val="tx1"/>
            </w14:solidFill>
          </w14:textFill>
        </w:rPr>
        <w:t>.答辩要求</w:t>
      </w:r>
    </w:p>
    <w:p w14:paraId="14676385">
      <w:pPr>
        <w:ind w:firstLine="44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决赛由各参赛作品小组通过现场路演答辩角逐一、二等奖。每组作品路演主要介绍作品构思、创新性、可行性等，并现场进行模型操作演示。每组答辩时间不超过8分钟，其中参赛者介绍5分钟，专家评委提问3分钟。评审现场将有工作人员进行计时，请各参赛队伍自行组织预答辩，以控制表述时间与效果。</w:t>
      </w:r>
    </w:p>
    <w:p w14:paraId="4241ED1A">
      <w:pPr>
        <w:ind w:firstLine="440" w:firstLineChars="200"/>
        <w:rPr>
          <w:rFonts w:ascii="宋体" w:hAnsi="宋体" w:eastAsia="宋体" w:cs="宋体"/>
          <w:color w:val="000000" w:themeColor="text1"/>
          <w14:textFill>
            <w14:solidFill>
              <w14:schemeClr w14:val="tx1"/>
            </w14:solidFill>
          </w14:textFill>
        </w:rPr>
      </w:pPr>
    </w:p>
    <w:p w14:paraId="61DBF07F">
      <w:pPr>
        <w:rPr>
          <w:rFonts w:ascii="宋体" w:hAnsi="宋体" w:eastAsia="宋体" w:cs="宋体"/>
          <w:color w:val="000000" w:themeColor="text1"/>
          <w14:textFill>
            <w14:solidFill>
              <w14:schemeClr w14:val="tx1"/>
            </w14:solidFill>
          </w14:textFill>
        </w:rPr>
      </w:pPr>
      <w:r>
        <w:rPr>
          <w:rFonts w:hint="eastAsia" w:ascii="宋体" w:hAnsi="宋体" w:eastAsia="宋体" w:cs="宋体"/>
          <w:b/>
          <w:bCs/>
          <w:color w:val="000000" w:themeColor="text1"/>
          <w:lang w:val="en-US" w:eastAsia="zh-CN"/>
          <w14:textFill>
            <w14:solidFill>
              <w14:schemeClr w14:val="tx1"/>
            </w14:solidFill>
          </w14:textFill>
        </w:rPr>
        <w:t>三</w:t>
      </w:r>
      <w:r>
        <w:rPr>
          <w:rFonts w:hint="eastAsia" w:ascii="宋体" w:hAnsi="宋体" w:eastAsia="宋体" w:cs="宋体"/>
          <w:b/>
          <w:bCs/>
          <w:color w:val="000000" w:themeColor="text1"/>
          <w14:textFill>
            <w14:solidFill>
              <w14:schemeClr w14:val="tx1"/>
            </w14:solidFill>
          </w14:textFill>
        </w:rPr>
        <w:t>、其他事项说明</w:t>
      </w:r>
    </w:p>
    <w:p w14:paraId="4DA6241C">
      <w:pPr>
        <w:ind w:firstLine="44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1.住宿安排</w:t>
      </w:r>
    </w:p>
    <w:p w14:paraId="79C41631">
      <w:pPr>
        <w:ind w:firstLine="44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各产业赛将安排</w:t>
      </w:r>
      <w:r>
        <w:rPr>
          <w:rFonts w:hint="eastAsia" w:ascii="宋体" w:hAnsi="宋体" w:eastAsia="宋体" w:cs="宋体"/>
          <w:color w:val="000000" w:themeColor="text1"/>
          <w14:textFill>
            <w14:solidFill>
              <w14:schemeClr w14:val="tx1"/>
            </w14:solidFill>
          </w14:textFill>
        </w:rPr>
        <w:t>周边1-2公里酒店标准间</w:t>
      </w:r>
      <w:r>
        <w:rPr>
          <w:rFonts w:hint="eastAsia" w:ascii="宋体" w:hAnsi="宋体" w:eastAsia="宋体" w:cs="宋体"/>
          <w:color w:val="000000" w:themeColor="text1"/>
          <w:lang w:eastAsia="zh-CN"/>
          <w14:textFill>
            <w14:solidFill>
              <w14:schemeClr w14:val="tx1"/>
            </w14:solidFill>
          </w14:textFill>
        </w:rPr>
        <w:t>，</w:t>
      </w:r>
      <w:r>
        <w:rPr>
          <w:rFonts w:hint="eastAsia" w:ascii="宋体" w:hAnsi="宋体" w:eastAsia="宋体" w:cs="宋体"/>
          <w:color w:val="000000" w:themeColor="text1"/>
          <w14:textFill>
            <w14:solidFill>
              <w14:schemeClr w14:val="tx1"/>
            </w14:solidFill>
          </w14:textFill>
        </w:rPr>
        <w:t>价格在300元左右（仅为参考，价格随淡旺季波动），组委会将根据回执表进行分配，尽量按照团队要求提供住宿，如实际住宿情况未达到预期，敬请谅解。住宿费用由参赛团队承担。并请带队老师提醒学生务必带上有效身份证件，以免办理入住手续时遇到麻烦！</w:t>
      </w:r>
    </w:p>
    <w:p w14:paraId="729455B3">
      <w:pPr>
        <w:ind w:firstLine="440" w:firstLineChars="200"/>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2.作品展示</w:t>
      </w:r>
    </w:p>
    <w:p w14:paraId="3FA8B6A1">
      <w:pPr>
        <w:ind w:firstLine="44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请参赛团队在《回执表》中准确标注实物模型尺寸（长x宽x高），如有特殊展示要求，请在表中注明，以便组委会安排模型展览场地。</w:t>
      </w:r>
    </w:p>
    <w:p w14:paraId="46849045">
      <w:pPr>
        <w:numPr>
          <w:ilvl w:val="0"/>
          <w:numId w:val="1"/>
        </w:numPr>
        <w:ind w:firstLine="440" w:firstLineChars="200"/>
        <w:rPr>
          <w:rFonts w:hint="default"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各个产业赛道具体决赛细则详见附件，请各参赛院校仔细阅读，并做好相应准备。</w:t>
      </w:r>
    </w:p>
    <w:p w14:paraId="0B4B56F2">
      <w:pPr>
        <w:rPr>
          <w:rFonts w:ascii="宋体" w:hAnsi="宋体" w:eastAsia="宋体" w:cs="宋体"/>
          <w:color w:val="000000" w:themeColor="text1"/>
          <w14:textFill>
            <w14:solidFill>
              <w14:schemeClr w14:val="tx1"/>
            </w14:solidFill>
          </w14:textFill>
        </w:rPr>
      </w:pPr>
    </w:p>
    <w:p w14:paraId="164059D1">
      <w:pPr>
        <w:rPr>
          <w:rFonts w:ascii="宋体" w:hAnsi="宋体" w:eastAsia="宋体" w:cs="宋体"/>
          <w:color w:val="000000" w:themeColor="text1"/>
          <w14:textFill>
            <w14:solidFill>
              <w14:schemeClr w14:val="tx1"/>
            </w14:solidFill>
          </w14:textFill>
        </w:rPr>
      </w:pPr>
    </w:p>
    <w:p w14:paraId="645346EC">
      <w:pPr>
        <w:jc w:val="right"/>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中华设计奖组委会</w:t>
      </w:r>
    </w:p>
    <w:p w14:paraId="69D4B0BC">
      <w:pPr>
        <w:jc w:val="right"/>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浙江省大学生工业设计竞赛秘书处</w:t>
      </w:r>
    </w:p>
    <w:p w14:paraId="1F8D16CF">
      <w:pPr>
        <w:jc w:val="right"/>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2025年9月</w:t>
      </w:r>
      <w:r>
        <w:rPr>
          <w:rFonts w:hint="eastAsia" w:ascii="宋体" w:hAnsi="宋体" w:eastAsia="宋体" w:cs="宋体"/>
          <w:color w:val="000000" w:themeColor="text1"/>
          <w:lang w:val="en-US" w:eastAsia="zh-CN"/>
          <w14:textFill>
            <w14:solidFill>
              <w14:schemeClr w14:val="tx1"/>
            </w14:solidFill>
          </w14:textFill>
        </w:rPr>
        <w:t>15</w:t>
      </w:r>
      <w:r>
        <w:rPr>
          <w:rFonts w:hint="eastAsia" w:ascii="宋体" w:hAnsi="宋体" w:eastAsia="宋体" w:cs="宋体"/>
          <w:color w:val="000000" w:themeColor="text1"/>
          <w14:textFill>
            <w14:solidFill>
              <w14:schemeClr w14:val="tx1"/>
            </w14:solidFill>
          </w14:textFill>
        </w:rPr>
        <w:t>日</w:t>
      </w:r>
    </w:p>
    <w:p w14:paraId="3F07BC52">
      <w:pPr>
        <w:rPr>
          <w:color w:val="000000" w:themeColor="text1"/>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标宋简体">
    <w:altName w:val="Arial Unicode MS"/>
    <w:panose1 w:val="02000000000000000000"/>
    <w:charset w:val="86"/>
    <w:family w:val="auto"/>
    <w:pitch w:val="default"/>
    <w:sig w:usb0="00000000" w:usb1="00000000" w:usb2="00000012"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FC8F0A"/>
    <w:multiLevelType w:val="singleLevel"/>
    <w:tmpl w:val="FBFC8F0A"/>
    <w:lvl w:ilvl="0" w:tentative="0">
      <w:start w:val="3"/>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9A854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2025-09-16T03:16:46Z</dcterms:created>
  <dc:creator>10364</dc:creator>
  <cp:lastModifiedBy>君安在</cp:lastModifiedBy>
  <dcterms:modified xsi:type="dcterms:W3CDTF">2025-09-16T03:16:55Z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eyJoZGlkIjoiODY0YjZjYTU5MTYyZjQzZDQ3ZGNhNDQ4ZWEwY2ZlNjAiLCJ1c2VySWQiOiIzMTMzOTY1MzIifQ==</vt:lpwstr>
  </property>
  <property fmtid="{D5CDD505-2E9C-101B-9397-08002B2CF9AE}" pid="4" name="ICV">
    <vt:lpwstr>84340627554540439DDF3F5BA98BEB5B_12</vt:lpwstr>
  </property>
</Properties>
</file>